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7E1E" w:rsidRDefault="001A7E1E" w:rsidP="00387D6D">
      <w:pPr>
        <w:pStyle w:val="Title"/>
      </w:pPr>
    </w:p>
    <w:p w:rsidR="001A7E1E" w:rsidRDefault="001A7E1E" w:rsidP="00387D6D">
      <w:pPr>
        <w:pStyle w:val="Title"/>
      </w:pPr>
    </w:p>
    <w:p w:rsidR="001A7E1E" w:rsidRDefault="001A7E1E" w:rsidP="00387D6D">
      <w:pPr>
        <w:pStyle w:val="Title"/>
      </w:pPr>
    </w:p>
    <w:p w:rsidR="00E81978" w:rsidRDefault="00387D6D" w:rsidP="00387D6D">
      <w:pPr>
        <w:pStyle w:val="Title"/>
      </w:pPr>
      <w:r w:rsidRPr="00387D6D">
        <w:t>Theories of Delinquency</w:t>
      </w:r>
    </w:p>
    <w:p w:rsidR="00B823AA" w:rsidRDefault="001A7E1E" w:rsidP="00B823AA">
      <w:pPr>
        <w:pStyle w:val="Title2"/>
      </w:pPr>
      <w:r>
        <w:t>Name</w:t>
      </w:r>
    </w:p>
    <w:p w:rsidR="00E81978" w:rsidRDefault="001A7E1E" w:rsidP="00B823AA">
      <w:pPr>
        <w:pStyle w:val="Title2"/>
      </w:pPr>
      <w:r>
        <w:t>Institutional Affiliation</w:t>
      </w:r>
    </w:p>
    <w:p w:rsidR="001A7E1E" w:rsidRDefault="001A7E1E" w:rsidP="00B823AA">
      <w:pPr>
        <w:pStyle w:val="Title2"/>
      </w:pPr>
    </w:p>
    <w:p w:rsidR="00387D6D" w:rsidRDefault="00387D6D" w:rsidP="00B823AA">
      <w:pPr>
        <w:pStyle w:val="Title2"/>
      </w:pPr>
    </w:p>
    <w:p w:rsidR="00387D6D" w:rsidRDefault="00387D6D" w:rsidP="00B823AA">
      <w:pPr>
        <w:pStyle w:val="Title2"/>
      </w:pPr>
    </w:p>
    <w:p w:rsidR="00387D6D" w:rsidRDefault="00387D6D" w:rsidP="00B823AA">
      <w:pPr>
        <w:pStyle w:val="Title2"/>
      </w:pPr>
    </w:p>
    <w:p w:rsidR="00387D6D" w:rsidRDefault="00387D6D" w:rsidP="00B823AA">
      <w:pPr>
        <w:pStyle w:val="Title2"/>
      </w:pPr>
    </w:p>
    <w:p w:rsidR="00387D6D" w:rsidRDefault="00387D6D" w:rsidP="00B823AA">
      <w:pPr>
        <w:pStyle w:val="Title2"/>
      </w:pPr>
    </w:p>
    <w:p w:rsidR="00387D6D" w:rsidRDefault="00387D6D" w:rsidP="00B823AA">
      <w:pPr>
        <w:pStyle w:val="Title2"/>
      </w:pPr>
    </w:p>
    <w:p w:rsidR="00387D6D" w:rsidRPr="00387D6D" w:rsidRDefault="00387D6D" w:rsidP="00387D6D"/>
    <w:p w:rsidR="00387D6D" w:rsidRDefault="00387D6D" w:rsidP="00387D6D"/>
    <w:p w:rsidR="00E81978" w:rsidRDefault="00E81978" w:rsidP="00387D6D">
      <w:pPr>
        <w:jc w:val="center"/>
      </w:pPr>
    </w:p>
    <w:p w:rsidR="00387D6D" w:rsidRDefault="00387D6D" w:rsidP="00387D6D">
      <w:pPr>
        <w:jc w:val="center"/>
      </w:pPr>
    </w:p>
    <w:p w:rsidR="00387D6D" w:rsidRDefault="00387D6D" w:rsidP="00387D6D">
      <w:pPr>
        <w:jc w:val="center"/>
      </w:pPr>
    </w:p>
    <w:p w:rsidR="00387D6D" w:rsidRDefault="00387D6D" w:rsidP="001A7E1E">
      <w:pPr>
        <w:ind w:firstLine="0"/>
      </w:pPr>
      <w:bookmarkStart w:id="0" w:name="_GoBack"/>
      <w:bookmarkEnd w:id="0"/>
    </w:p>
    <w:p w:rsidR="00387D6D" w:rsidRDefault="00387D6D" w:rsidP="00387D6D">
      <w:r>
        <w:lastRenderedPageBreak/>
        <w:t xml:space="preserve">Q1. </w:t>
      </w:r>
    </w:p>
    <w:p w:rsidR="00387D6D" w:rsidRDefault="00387D6D" w:rsidP="00387D6D">
      <w:pPr>
        <w:jc w:val="both"/>
      </w:pPr>
      <w:r>
        <w:t>I am not a criminal because I have never engaged in any unlawful activity that could lead me into a police trap. My entire life has been under the influence of responsible individuals who have instilled a sense of control to make rational choices in life. This is according to the social learning behavior that explains the rationale of people engaging in either criminal or non-criminal activities based on the social environment around them. This concept highlight that behaviors are learned and can be countered through creating a social setting where criminal behavior is not regularized</w:t>
      </w:r>
      <w:r w:rsidRPr="00891875">
        <w:t xml:space="preserve"> </w:t>
      </w:r>
      <w:r>
        <w:t xml:space="preserve">(Akers &amp; Jennings, 2016). </w:t>
      </w:r>
    </w:p>
    <w:p w:rsidR="00387D6D" w:rsidRPr="007D1E56" w:rsidRDefault="00387D6D" w:rsidP="00387D6D">
      <w:pPr>
        <w:jc w:val="both"/>
        <w:rPr>
          <w:b/>
        </w:rPr>
      </w:pPr>
      <w:r>
        <w:t xml:space="preserve">Q2. </w:t>
      </w:r>
    </w:p>
    <w:p w:rsidR="00387D6D" w:rsidRDefault="00387D6D" w:rsidP="00387D6D">
      <w:pPr>
        <w:jc w:val="both"/>
      </w:pPr>
      <w:r>
        <w:t>The significant elements of the Psychoanalytic theory include the id that seeks instant gratification of basic need, the superego which is concerned with social values and morals, and the ego, which balances the demands of the id and super-ego.</w:t>
      </w:r>
    </w:p>
    <w:p w:rsidR="00387D6D" w:rsidRPr="00163DB5" w:rsidRDefault="00387D6D" w:rsidP="00387D6D">
      <w:pPr>
        <w:jc w:val="both"/>
      </w:pPr>
      <w:r w:rsidRPr="00163DB5">
        <w:t>Adolescent formative years are significant stages where individuals develop physically, mentally, socially, and intellectually.</w:t>
      </w:r>
      <w:r>
        <w:t xml:space="preserve"> </w:t>
      </w:r>
      <w:r w:rsidRPr="00163DB5">
        <w:t>Childhood is regarded to be formative years between the onsets of puberty until maturity in physical growth.</w:t>
      </w:r>
      <w:r>
        <w:t xml:space="preserve"> </w:t>
      </w:r>
      <w:r w:rsidRPr="00163DB5">
        <w:t>My formative years entailed psychological reorganization; for instance, I grew paranoid, and my attraction to the opposite sex grew.</w:t>
      </w:r>
    </w:p>
    <w:p w:rsidR="00387D6D" w:rsidRDefault="00387D6D" w:rsidP="00387D6D">
      <w:pPr>
        <w:jc w:val="both"/>
      </w:pPr>
      <w:r>
        <w:t xml:space="preserve">Q3. </w:t>
      </w:r>
    </w:p>
    <w:p w:rsidR="00387D6D" w:rsidRDefault="00387D6D" w:rsidP="00387D6D">
      <w:pPr>
        <w:jc w:val="both"/>
      </w:pPr>
      <w:r>
        <w:t>The former focuses on human development as compared with the latter that focuses on behavioral learning. Secondly, the psychoanalytic model seeks to explain the internal procedure of the unconscious mind while the social learning model focuses more on external stimuli.</w:t>
      </w:r>
    </w:p>
    <w:p w:rsidR="00387D6D" w:rsidRDefault="00387D6D" w:rsidP="00387D6D">
      <w:pPr>
        <w:jc w:val="both"/>
      </w:pPr>
      <w:r>
        <w:t xml:space="preserve">The psychoanalytic theory highlights the essence of which delinquent youth, including behavioral transformations that appear during puberty, often replicates an inner struggle between </w:t>
      </w:r>
      <w:r>
        <w:lastRenderedPageBreak/>
        <w:t>an individual's moral abilities. On the other hand, social learning theory explains the influence of social environs such as religion and family, shaping an individual over time.</w:t>
      </w:r>
    </w:p>
    <w:p w:rsidR="00387D6D" w:rsidRDefault="00387D6D" w:rsidP="00387D6D">
      <w:pPr>
        <w:jc w:val="both"/>
      </w:pPr>
      <w:r>
        <w:t xml:space="preserve">Q4. What is meant by a delinquent subculture? </w:t>
      </w:r>
    </w:p>
    <w:p w:rsidR="00387D6D" w:rsidRDefault="00387D6D" w:rsidP="00387D6D">
      <w:pPr>
        <w:jc w:val="both"/>
      </w:pPr>
      <w:r>
        <w:t>This is a set of shared values of a common group that distinguishes groups, individuals, or societies. Successive age groups inherit a delinquent subculture. The information from delinquent subcultures can be used in shaping the behavior of the youth as they grow up to prevent them from inheriting criminal behavior, as illustrated by the predecessor age group.</w:t>
      </w:r>
    </w:p>
    <w:p w:rsidR="00387D6D" w:rsidRDefault="00387D6D" w:rsidP="00387D6D">
      <w:pPr>
        <w:jc w:val="both"/>
      </w:pPr>
      <w:r>
        <w:t xml:space="preserve">Delinquent subcultures change progressively due to various factors including technological changes, ecological, political and economic variations. </w:t>
      </w:r>
    </w:p>
    <w:p w:rsidR="00387D6D" w:rsidRDefault="00387D6D" w:rsidP="00387D6D">
      <w:pPr>
        <w:jc w:val="both"/>
      </w:pPr>
      <w:r>
        <w:t xml:space="preserve">Q5. </w:t>
      </w:r>
    </w:p>
    <w:p w:rsidR="00387D6D" w:rsidRDefault="00387D6D" w:rsidP="00387D6D">
      <w:pPr>
        <w:jc w:val="both"/>
      </w:pPr>
      <w:r>
        <w:t>My favorite theory is Sigmund feud's psychoanalytic theory, which focuses on human behavior. This concept argues that the events in our teenage have a substantial influence on shaping our personality in the future (</w:t>
      </w:r>
      <w:proofErr w:type="spellStart"/>
      <w:r>
        <w:rPr>
          <w:lang w:val="en-GB"/>
        </w:rPr>
        <w:t>Guntrip</w:t>
      </w:r>
      <w:proofErr w:type="spellEnd"/>
      <w:r>
        <w:rPr>
          <w:lang w:val="en-GB"/>
        </w:rPr>
        <w:t xml:space="preserve">, </w:t>
      </w:r>
      <w:r w:rsidRPr="00387D6D">
        <w:rPr>
          <w:lang w:val="en-GB"/>
        </w:rPr>
        <w:t>2018</w:t>
      </w:r>
      <w:r>
        <w:rPr>
          <w:lang w:val="en-GB"/>
        </w:rPr>
        <w:t>)</w:t>
      </w:r>
      <w:r>
        <w:t xml:space="preserve"> I concur with the theory’s argument </w:t>
      </w:r>
      <w:r w:rsidRPr="00E664B0">
        <w:t xml:space="preserve">because I have, over time, reflected my </w:t>
      </w:r>
      <w:r>
        <w:t>development of</w:t>
      </w:r>
      <w:r w:rsidRPr="00E664B0">
        <w:t xml:space="preserve"> thoughts since I was a teenager till now, a mature person.</w:t>
      </w:r>
      <w:r>
        <w:t xml:space="preserve"> The results represent a significant percentage of my childhood experiences.  </w:t>
      </w:r>
    </w:p>
    <w:p w:rsidR="00387D6D" w:rsidRDefault="00387D6D" w:rsidP="00387D6D"/>
    <w:p w:rsidR="00387D6D" w:rsidRDefault="00387D6D" w:rsidP="00387D6D">
      <w:pPr>
        <w:jc w:val="center"/>
      </w:pPr>
    </w:p>
    <w:p w:rsidR="00387D6D" w:rsidRDefault="00387D6D" w:rsidP="00387D6D">
      <w:pPr>
        <w:jc w:val="center"/>
      </w:pPr>
    </w:p>
    <w:p w:rsidR="00387D6D" w:rsidRDefault="00387D6D" w:rsidP="00387D6D">
      <w:pPr>
        <w:jc w:val="center"/>
      </w:pPr>
    </w:p>
    <w:p w:rsidR="00387D6D" w:rsidRDefault="00387D6D" w:rsidP="00387D6D">
      <w:pPr>
        <w:jc w:val="center"/>
      </w:pPr>
    </w:p>
    <w:p w:rsidR="00387D6D" w:rsidRDefault="00387D6D" w:rsidP="00387D6D">
      <w:pPr>
        <w:jc w:val="center"/>
      </w:pPr>
    </w:p>
    <w:p w:rsidR="00387D6D" w:rsidRDefault="00387D6D" w:rsidP="00387D6D">
      <w:pPr>
        <w:jc w:val="center"/>
      </w:pPr>
    </w:p>
    <w:p w:rsidR="00387D6D" w:rsidRDefault="00387D6D" w:rsidP="00387D6D">
      <w:pPr>
        <w:jc w:val="center"/>
      </w:pPr>
    </w:p>
    <w:p w:rsidR="00387D6D" w:rsidRDefault="00387D6D" w:rsidP="00387D6D">
      <w:pPr>
        <w:jc w:val="center"/>
      </w:pPr>
      <w:r>
        <w:lastRenderedPageBreak/>
        <w:t xml:space="preserve">References </w:t>
      </w:r>
    </w:p>
    <w:p w:rsidR="00387D6D" w:rsidRPr="00387D6D" w:rsidRDefault="00387D6D" w:rsidP="00387D6D">
      <w:pPr>
        <w:ind w:left="720" w:hanging="720"/>
        <w:jc w:val="both"/>
        <w:rPr>
          <w:lang w:val="en-GB"/>
        </w:rPr>
      </w:pPr>
      <w:r w:rsidRPr="00387D6D">
        <w:rPr>
          <w:lang w:val="en-GB"/>
        </w:rPr>
        <w:t xml:space="preserve">Akers, R. L., &amp; Jennings, W. G. (2016). Social learning theory. </w:t>
      </w:r>
      <w:r w:rsidRPr="00387D6D">
        <w:rPr>
          <w:i/>
          <w:iCs/>
          <w:lang w:val="en-GB"/>
        </w:rPr>
        <w:t>Wiley Handbooks in Criminology and Criminal Justice</w:t>
      </w:r>
      <w:r w:rsidRPr="00387D6D">
        <w:rPr>
          <w:lang w:val="en-GB"/>
        </w:rPr>
        <w:t>, 230-240.</w:t>
      </w:r>
    </w:p>
    <w:p w:rsidR="00387D6D" w:rsidRPr="00387D6D" w:rsidRDefault="00387D6D" w:rsidP="00387D6D">
      <w:pPr>
        <w:ind w:left="720" w:hanging="720"/>
        <w:jc w:val="both"/>
        <w:rPr>
          <w:lang w:val="en-GB"/>
        </w:rPr>
      </w:pPr>
      <w:proofErr w:type="spellStart"/>
      <w:r w:rsidRPr="00387D6D">
        <w:rPr>
          <w:lang w:val="en-GB"/>
        </w:rPr>
        <w:t>Guntrip</w:t>
      </w:r>
      <w:proofErr w:type="spellEnd"/>
      <w:r w:rsidRPr="00387D6D">
        <w:rPr>
          <w:lang w:val="en-GB"/>
        </w:rPr>
        <w:t xml:space="preserve">, H. (2018). </w:t>
      </w:r>
      <w:r w:rsidRPr="00387D6D">
        <w:rPr>
          <w:i/>
          <w:iCs/>
          <w:lang w:val="en-GB"/>
        </w:rPr>
        <w:t>Psychoanalytic theory, therapy and the self</w:t>
      </w:r>
      <w:r w:rsidRPr="00387D6D">
        <w:rPr>
          <w:lang w:val="en-GB"/>
        </w:rPr>
        <w:t>. Routledge.</w:t>
      </w:r>
    </w:p>
    <w:p w:rsidR="00387D6D" w:rsidRPr="00387D6D" w:rsidRDefault="00387D6D" w:rsidP="00387D6D">
      <w:pPr>
        <w:jc w:val="center"/>
      </w:pPr>
    </w:p>
    <w:sectPr w:rsidR="00387D6D" w:rsidRPr="00387D6D">
      <w:headerReference w:type="default" r:id="rId8"/>
      <w:headerReference w:type="first" r:id="rId9"/>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5BC4" w:rsidRDefault="00F75BC4">
      <w:pPr>
        <w:spacing w:line="240" w:lineRule="auto"/>
      </w:pPr>
      <w:r>
        <w:separator/>
      </w:r>
    </w:p>
    <w:p w:rsidR="00F75BC4" w:rsidRDefault="00F75BC4"/>
  </w:endnote>
  <w:endnote w:type="continuationSeparator" w:id="0">
    <w:p w:rsidR="00F75BC4" w:rsidRDefault="00F75BC4">
      <w:pPr>
        <w:spacing w:line="240" w:lineRule="auto"/>
      </w:pPr>
      <w:r>
        <w:continuationSeparator/>
      </w:r>
    </w:p>
    <w:p w:rsidR="00F75BC4" w:rsidRDefault="00F75B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5BC4" w:rsidRDefault="00F75BC4">
      <w:pPr>
        <w:spacing w:line="240" w:lineRule="auto"/>
      </w:pPr>
      <w:r>
        <w:separator/>
      </w:r>
    </w:p>
    <w:p w:rsidR="00F75BC4" w:rsidRDefault="00F75BC4"/>
  </w:footnote>
  <w:footnote w:type="continuationSeparator" w:id="0">
    <w:p w:rsidR="00F75BC4" w:rsidRDefault="00F75BC4">
      <w:pPr>
        <w:spacing w:line="240" w:lineRule="auto"/>
      </w:pPr>
      <w:r>
        <w:continuationSeparator/>
      </w:r>
    </w:p>
    <w:p w:rsidR="00F75BC4" w:rsidRDefault="00F75BC4"/>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978" w:rsidRDefault="00387D6D">
    <w:pPr>
      <w:pStyle w:val="Header"/>
    </w:pPr>
    <w:r w:rsidRPr="00387D6D">
      <w:rPr>
        <w:rStyle w:val="Strong"/>
      </w:rPr>
      <w:t>Theories of Delinquency</w:t>
    </w:r>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1A7E1E">
      <w:rPr>
        <w:rStyle w:val="Strong"/>
        <w:noProof/>
      </w:rPr>
      <w:t>4</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978" w:rsidRDefault="005D3A03">
    <w:pPr>
      <w:pStyle w:val="Header"/>
      <w:rPr>
        <w:rStyle w:val="Strong"/>
      </w:rPr>
    </w:pPr>
    <w:r>
      <w:t xml:space="preserve">Running head: </w:t>
    </w:r>
    <w:r w:rsidR="00387D6D" w:rsidRPr="00387D6D">
      <w:t xml:space="preserve"> </w:t>
    </w:r>
    <w:r w:rsidR="00387D6D" w:rsidRPr="00387D6D">
      <w:rPr>
        <w:caps/>
      </w:rPr>
      <w:t>Theories of Delinquency</w:t>
    </w:r>
    <w:r w:rsidR="001A7E1E">
      <w:rPr>
        <w:caps/>
      </w:rPr>
      <w:t xml:space="preserve">                                                                         </w:t>
    </w:r>
    <w:r>
      <w:rPr>
        <w:rStyle w:val="Strong"/>
      </w:rPr>
      <w:fldChar w:fldCharType="begin"/>
    </w:r>
    <w:r>
      <w:rPr>
        <w:rStyle w:val="Strong"/>
      </w:rPr>
      <w:instrText xml:space="preserve"> PAGE   \* MERGEFORMAT </w:instrText>
    </w:r>
    <w:r>
      <w:rPr>
        <w:rStyle w:val="Strong"/>
      </w:rPr>
      <w:fldChar w:fldCharType="separate"/>
    </w:r>
    <w:r w:rsidR="001A7E1E">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D6D"/>
    <w:rsid w:val="000D3F41"/>
    <w:rsid w:val="001A7E1E"/>
    <w:rsid w:val="00355DCA"/>
    <w:rsid w:val="00387D6D"/>
    <w:rsid w:val="00551A02"/>
    <w:rsid w:val="005534FA"/>
    <w:rsid w:val="005D3A03"/>
    <w:rsid w:val="008002C0"/>
    <w:rsid w:val="008C5323"/>
    <w:rsid w:val="009A6A3B"/>
    <w:rsid w:val="00B823AA"/>
    <w:rsid w:val="00BA45DB"/>
    <w:rsid w:val="00BF4184"/>
    <w:rsid w:val="00C0601E"/>
    <w:rsid w:val="00C31D30"/>
    <w:rsid w:val="00CD6E39"/>
    <w:rsid w:val="00CF6E91"/>
    <w:rsid w:val="00D85B68"/>
    <w:rsid w:val="00E6004D"/>
    <w:rsid w:val="00E81978"/>
    <w:rsid w:val="00F05442"/>
    <w:rsid w:val="00F379B7"/>
    <w:rsid w:val="00F525FA"/>
    <w:rsid w:val="00F75BC4"/>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0DF26"/>
  <w15:chartTrackingRefBased/>
  <w15:docId w15:val="{F92F9618-FBFA-4F4E-9DAC-B14C5E679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50669897">
      <w:bodyDiv w:val="1"/>
      <w:marLeft w:val="0"/>
      <w:marRight w:val="0"/>
      <w:marTop w:val="0"/>
      <w:marBottom w:val="0"/>
      <w:divBdr>
        <w:top w:val="none" w:sz="0" w:space="0" w:color="auto"/>
        <w:left w:val="none" w:sz="0" w:space="0" w:color="auto"/>
        <w:bottom w:val="none" w:sz="0" w:space="0" w:color="auto"/>
        <w:right w:val="none" w:sz="0" w:space="0" w:color="auto"/>
      </w:divBdr>
      <w:divsChild>
        <w:div w:id="2128616509">
          <w:marLeft w:val="0"/>
          <w:marRight w:val="0"/>
          <w:marTop w:val="0"/>
          <w:marBottom w:val="0"/>
          <w:divBdr>
            <w:top w:val="none" w:sz="0" w:space="0" w:color="auto"/>
            <w:left w:val="none" w:sz="0" w:space="0" w:color="auto"/>
            <w:bottom w:val="none" w:sz="0" w:space="0" w:color="auto"/>
            <w:right w:val="none" w:sz="0" w:space="0" w:color="auto"/>
          </w:divBdr>
        </w:div>
      </w:divsChild>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AppData\Roaming\Microsoft\Templates\APA%20style%20report%20(6th%20edition).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C8F462D5-1177-45D9-8D57-60AA243B3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9</TotalTime>
  <Pages>4</Pages>
  <Words>477</Words>
  <Characters>2720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Prof Dismuz</cp:lastModifiedBy>
  <cp:revision>2</cp:revision>
  <dcterms:created xsi:type="dcterms:W3CDTF">2020-02-08T20:52:00Z</dcterms:created>
  <dcterms:modified xsi:type="dcterms:W3CDTF">2020-02-08T21:17:00Z</dcterms:modified>
</cp:coreProperties>
</file>